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AB" w:rsidRPr="001A1FAB" w:rsidRDefault="001A1FAB" w:rsidP="001A1FAB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1A1FAB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Перечень нормативных правовых актов,</w:t>
      </w:r>
    </w:p>
    <w:p w:rsidR="001A1FAB" w:rsidRPr="001A1FAB" w:rsidRDefault="001A1FAB" w:rsidP="001A1FAB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1A1FAB">
        <w:rPr>
          <w:rFonts w:ascii="Arial" w:eastAsia="Times New Roman" w:hAnsi="Arial" w:cs="Arial"/>
          <w:b/>
          <w:bCs/>
          <w:color w:val="122021"/>
          <w:sz w:val="18"/>
          <w:lang w:eastAsia="ru-RU"/>
        </w:rPr>
        <w:t>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</w:t>
      </w:r>
    </w:p>
    <w:p w:rsidR="001A1FAB" w:rsidRPr="001A1FAB" w:rsidRDefault="001A1FAB" w:rsidP="001A1FAB">
      <w:pPr>
        <w:shd w:val="clear" w:color="auto" w:fill="FFFFFF"/>
        <w:spacing w:after="125" w:line="250" w:lineRule="atLeast"/>
        <w:jc w:val="center"/>
        <w:rPr>
          <w:rFonts w:ascii="Arial" w:eastAsia="Times New Roman" w:hAnsi="Arial" w:cs="Arial"/>
          <w:color w:val="122021"/>
          <w:sz w:val="18"/>
          <w:szCs w:val="18"/>
          <w:lang w:eastAsia="ru-RU"/>
        </w:rPr>
      </w:pPr>
      <w:r w:rsidRPr="001A1FAB">
        <w:rPr>
          <w:rFonts w:ascii="Arial" w:eastAsia="Times New Roman" w:hAnsi="Arial" w:cs="Arial"/>
          <w:color w:val="122021"/>
          <w:sz w:val="18"/>
          <w:szCs w:val="18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749EE8"/>
          <w:left w:val="outset" w:sz="6" w:space="0" w:color="749EE8"/>
          <w:bottom w:val="outset" w:sz="6" w:space="0" w:color="749EE8"/>
          <w:right w:val="outset" w:sz="6" w:space="0" w:color="749EE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315"/>
        <w:gridCol w:w="1980"/>
        <w:gridCol w:w="3825"/>
      </w:tblGrid>
      <w:tr w:rsidR="001A1FAB" w:rsidRPr="001A1FAB" w:rsidTr="001A1FAB">
        <w:trPr>
          <w:trHeight w:val="701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№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НПА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Структурная единица НПА</w:t>
            </w:r>
          </w:p>
        </w:tc>
        <w:tc>
          <w:tcPr>
            <w:tcW w:w="319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Меры ответственности за нарушение обязательных требований</w:t>
            </w:r>
          </w:p>
        </w:tc>
      </w:tr>
      <w:tr w:rsidR="001A1FAB" w:rsidRPr="001A1FAB" w:rsidTr="001A1FAB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Жилищный кодекс Российской Федерации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17, ст. 30, ст. 36, ст. 67</w:t>
            </w:r>
          </w:p>
        </w:tc>
        <w:tc>
          <w:tcPr>
            <w:tcW w:w="3193" w:type="dxa"/>
            <w:vMerge w:val="restart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7.21 КоАП РФ: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Нарушение правил пользования жилыми помещениями. Самовольные переустройство и (или) перепланировка помещения в многоквартирном доме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1. Порча жилых помещений или порча их оборудования либо использование жилых помещений не по назначению -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влечет предупреждение или наложение административного штрафа на граждан в размере от одной тысячи до одной </w:t>
            </w:r>
            <w:proofErr w:type="gramStart"/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тысячи пятисот</w:t>
            </w:r>
            <w:proofErr w:type="gramEnd"/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2. Самовольные переустройство и (или) перепланировка помещения в многоквартирном доме -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Ст. 7.22 КоАП РФ: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Нарушение правил содержания и ремонта </w:t>
            </w: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lastRenderedPageBreak/>
              <w:t>жилых домов и (или) жилых помещений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      </w:r>
            <w:proofErr w:type="gramEnd"/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пользования жилым домом и (или) жилым помещением, -</w:t>
            </w:r>
          </w:p>
          <w:p w:rsidR="001A1FAB" w:rsidRPr="001A1FAB" w:rsidRDefault="001A1FAB" w:rsidP="001A1FAB">
            <w:pPr>
              <w:spacing w:after="125" w:line="250" w:lineRule="atLeast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1A1FAB" w:rsidRPr="001A1FAB" w:rsidTr="001A1FAB">
        <w:trPr>
          <w:trHeight w:val="288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2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Постановление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1A1FAB" w:rsidRPr="001A1FAB" w:rsidTr="001A1FAB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3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proofErr w:type="gramStart"/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Постановление Правительства РФ от 13 августа 2006 г.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1A1FAB" w:rsidRPr="001A1FAB" w:rsidTr="001A1FAB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4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Постановление Правительства РФ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1A1FAB" w:rsidRPr="001A1FAB" w:rsidTr="001A1FAB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5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Постановление Правительства РФ от 06.05.2011 № 354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1A1FAB" w:rsidRPr="001A1FAB" w:rsidTr="001A1FAB">
        <w:trPr>
          <w:trHeight w:val="2454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lastRenderedPageBreak/>
              <w:t>6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Постановление Правительства РФ от 15.05.2013 № 416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«О порядке осуществления деятельности по управлению многоквартирными домами»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1A1FAB" w:rsidRPr="001A1FAB" w:rsidTr="001A1FAB">
        <w:trPr>
          <w:trHeight w:val="22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lastRenderedPageBreak/>
              <w:t>7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Приказ Министерства строительства и жилищно-коммунального хозяйства РФ от 14 мая 2021 г. № 292/</w:t>
            </w:r>
            <w:proofErr w:type="gramStart"/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пр</w:t>
            </w:r>
            <w:proofErr w:type="gramEnd"/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 xml:space="preserve"> «Об утверждении правил пользования жилыми помещениями»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  <w:tr w:rsidR="001A1FAB" w:rsidRPr="001A1FAB" w:rsidTr="001A1FAB">
        <w:trPr>
          <w:trHeight w:val="275"/>
          <w:tblCellSpacing w:w="0" w:type="dxa"/>
        </w:trPr>
        <w:tc>
          <w:tcPr>
            <w:tcW w:w="526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b/>
                <w:bCs/>
                <w:color w:val="122021"/>
                <w:sz w:val="18"/>
                <w:lang w:eastAsia="ru-RU"/>
              </w:rPr>
              <w:t>8</w:t>
            </w:r>
          </w:p>
        </w:tc>
        <w:tc>
          <w:tcPr>
            <w:tcW w:w="2767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Постановление Госстроя РФ от 27 сентября 2003 г. № 170 «Об утверждении Правил и норм технической эксплуатации жилищного фонда»</w:t>
            </w:r>
          </w:p>
        </w:tc>
        <w:tc>
          <w:tcPr>
            <w:tcW w:w="1653" w:type="dxa"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125" w:line="250" w:lineRule="atLeast"/>
              <w:jc w:val="center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  <w:r w:rsidRPr="001A1FAB"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  <w:t>В полном объёме</w:t>
            </w:r>
          </w:p>
        </w:tc>
        <w:tc>
          <w:tcPr>
            <w:tcW w:w="0" w:type="auto"/>
            <w:vMerge/>
            <w:tcBorders>
              <w:top w:val="outset" w:sz="6" w:space="0" w:color="749EE8"/>
              <w:left w:val="outset" w:sz="6" w:space="0" w:color="749EE8"/>
              <w:bottom w:val="outset" w:sz="6" w:space="0" w:color="749EE8"/>
              <w:right w:val="outset" w:sz="6" w:space="0" w:color="749EE8"/>
            </w:tcBorders>
            <w:shd w:val="clear" w:color="auto" w:fill="FFFFFF"/>
            <w:vAlign w:val="center"/>
            <w:hideMark/>
          </w:tcPr>
          <w:p w:rsidR="001A1FAB" w:rsidRPr="001A1FAB" w:rsidRDefault="001A1FAB" w:rsidP="001A1FAB">
            <w:pPr>
              <w:spacing w:after="0" w:line="240" w:lineRule="auto"/>
              <w:rPr>
                <w:rFonts w:ascii="Arial" w:eastAsia="Times New Roman" w:hAnsi="Arial" w:cs="Arial"/>
                <w:color w:val="122021"/>
                <w:sz w:val="18"/>
                <w:szCs w:val="18"/>
                <w:lang w:eastAsia="ru-RU"/>
              </w:rPr>
            </w:pPr>
          </w:p>
        </w:tc>
      </w:tr>
    </w:tbl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FAB"/>
    <w:rsid w:val="001A1FAB"/>
    <w:rsid w:val="00A8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2024-10-07T08:53:00Z</dcterms:created>
  <dcterms:modified xsi:type="dcterms:W3CDTF">2024-10-07T08:53:00Z</dcterms:modified>
</cp:coreProperties>
</file>